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05260" w:rsidRPr="00F05260" w:rsidTr="00F05260">
        <w:tc>
          <w:tcPr>
            <w:tcW w:w="5495" w:type="dxa"/>
            <w:hideMark/>
          </w:tcPr>
          <w:p w:rsidR="00F05260" w:rsidRPr="00F05260" w:rsidRDefault="00F05260" w:rsidP="00F05260">
            <w:pPr>
              <w:spacing w:line="276" w:lineRule="auto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СОГЛАСОВАНО:</w:t>
            </w:r>
          </w:p>
          <w:p w:rsidR="00F05260" w:rsidRPr="00F05260" w:rsidRDefault="00F05260" w:rsidP="00F05260">
            <w:pPr>
              <w:spacing w:line="276" w:lineRule="auto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F05260" w:rsidRPr="00F05260" w:rsidRDefault="00F05260" w:rsidP="00F05260">
            <w:pPr>
              <w:spacing w:line="276" w:lineRule="auto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П</w:t>
            </w:r>
            <w:r w:rsidR="00885974">
              <w:rPr>
                <w:sz w:val="22"/>
                <w:szCs w:val="20"/>
                <w:lang w:eastAsia="en-US"/>
              </w:rPr>
              <w:t>ротокол №1  от «28 »августа 2017</w:t>
            </w:r>
            <w:r w:rsidRPr="00F05260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УТВЕРЖДЕНО:</w:t>
            </w:r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приказ №   от «28 » августа  2015 г.</w:t>
            </w:r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«Об утверждении Рабочих программ  МБДОУ №130»</w:t>
            </w:r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F05260" w:rsidRPr="00F05260" w:rsidRDefault="00885974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___________Ю.В.Онучина</w:t>
            </w:r>
            <w:proofErr w:type="spellEnd"/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937B70" w:rsidP="00937B70">
      <w:pPr>
        <w:jc w:val="center"/>
        <w:rPr>
          <w:b/>
          <w:sz w:val="28"/>
        </w:rPr>
      </w:pPr>
      <w:r>
        <w:rPr>
          <w:b/>
          <w:sz w:val="32"/>
        </w:rPr>
        <w:t>РАБОЧАЯ  ПРОГРАММ</w:t>
      </w:r>
      <w:r>
        <w:rPr>
          <w:b/>
          <w:sz w:val="28"/>
        </w:rPr>
        <w:t>А</w:t>
      </w:r>
    </w:p>
    <w:p w:rsidR="00937B70" w:rsidRPr="00937B70" w:rsidRDefault="00AA1E70" w:rsidP="00937B70">
      <w:pPr>
        <w:jc w:val="center"/>
        <w:rPr>
          <w:b/>
          <w:sz w:val="32"/>
        </w:rPr>
      </w:pPr>
      <w:r>
        <w:rPr>
          <w:b/>
          <w:sz w:val="28"/>
        </w:rPr>
        <w:t>ПО ФОРМИРОВАНИЮ ЭЛЕМЕНТАРНЫХ МАТЕМАТИЧЕСКИХ ПРЕДСТАВЛЕНИЙ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937B70">
        <w:rPr>
          <w:sz w:val="28"/>
        </w:rPr>
        <w:t>2-3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2D7898" w:rsidRPr="002D7898" w:rsidRDefault="0033307C" w:rsidP="002D789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2</w:t>
      </w:r>
      <w:r w:rsidR="002D7898" w:rsidRPr="002D7898">
        <w:rPr>
          <w:i/>
          <w:sz w:val="28"/>
        </w:rPr>
        <w:t>)</w:t>
      </w:r>
    </w:p>
    <w:p w:rsidR="002D7898" w:rsidRPr="002D7898" w:rsidRDefault="0033307C" w:rsidP="002D789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2D7898" w:rsidRPr="002D7898">
        <w:rPr>
          <w:i/>
          <w:sz w:val="28"/>
        </w:rPr>
        <w:t xml:space="preserve"> учебный год</w:t>
      </w:r>
    </w:p>
    <w:p w:rsidR="002D7898" w:rsidRPr="002D7898" w:rsidRDefault="002D7898" w:rsidP="002D7898">
      <w:pPr>
        <w:spacing w:line="276" w:lineRule="auto"/>
        <w:jc w:val="center"/>
        <w:rPr>
          <w:i/>
          <w:sz w:val="28"/>
        </w:rPr>
      </w:pPr>
    </w:p>
    <w:p w:rsidR="002D7898" w:rsidRPr="002D7898" w:rsidRDefault="002D7898" w:rsidP="00885974">
      <w:pPr>
        <w:spacing w:line="276" w:lineRule="auto"/>
        <w:jc w:val="center"/>
        <w:rPr>
          <w:i/>
          <w:sz w:val="28"/>
        </w:rPr>
      </w:pPr>
      <w:r w:rsidRPr="002D7898">
        <w:rPr>
          <w:i/>
          <w:sz w:val="28"/>
        </w:rPr>
        <w:t xml:space="preserve">Автор: </w:t>
      </w:r>
    </w:p>
    <w:p w:rsidR="002D7898" w:rsidRPr="002D7898" w:rsidRDefault="002D7898" w:rsidP="002D789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604D38" w:rsidRDefault="00604D38" w:rsidP="00885974">
      <w:pPr>
        <w:spacing w:line="276" w:lineRule="auto"/>
        <w:ind w:left="3540" w:firstLine="708"/>
      </w:pPr>
      <w:r>
        <w:t>Ростов-на-Дону</w:t>
      </w:r>
    </w:p>
    <w:p w:rsidR="002D17A3" w:rsidRPr="00F21AFA" w:rsidRDefault="00885974" w:rsidP="00885974">
      <w:pPr>
        <w:spacing w:line="276" w:lineRule="auto"/>
        <w:ind w:left="4248" w:firstLine="708"/>
      </w:pPr>
      <w:r>
        <w:t>2017</w:t>
      </w:r>
      <w:r w:rsidR="00604D38">
        <w:t xml:space="preserve"> г.</w:t>
      </w: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F21AFA" w:rsidRPr="001947DB" w:rsidRDefault="00F21AFA" w:rsidP="00604D38">
      <w:pPr>
        <w:spacing w:line="276" w:lineRule="auto"/>
        <w:jc w:val="center"/>
        <w:rPr>
          <w:b/>
          <w:sz w:val="28"/>
          <w:szCs w:val="28"/>
        </w:rPr>
      </w:pPr>
    </w:p>
    <w:p w:rsidR="002F14D4" w:rsidRDefault="001947DB" w:rsidP="004612FA">
      <w:pPr>
        <w:spacing w:line="276" w:lineRule="auto"/>
        <w:ind w:firstLine="708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6A5DC8">
        <w:rPr>
          <w:rFonts w:eastAsia="Calibri"/>
          <w:bCs/>
          <w:sz w:val="28"/>
          <w:szCs w:val="28"/>
          <w:lang w:eastAsia="en-US"/>
        </w:rPr>
        <w:t>СанПиН</w:t>
      </w:r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4612FA">
      <w:pPr>
        <w:spacing w:line="276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="004612FA">
        <w:rPr>
          <w:sz w:val="28"/>
          <w:szCs w:val="28"/>
        </w:rPr>
        <w:t xml:space="preserve">(Под ред. Н.Е. </w:t>
      </w:r>
      <w:proofErr w:type="spellStart"/>
      <w:r w:rsidR="004612FA">
        <w:rPr>
          <w:sz w:val="28"/>
          <w:szCs w:val="28"/>
        </w:rPr>
        <w:t>Вераксы</w:t>
      </w:r>
      <w:proofErr w:type="spellEnd"/>
      <w:r w:rsidR="004612FA">
        <w:rPr>
          <w:sz w:val="28"/>
          <w:szCs w:val="28"/>
        </w:rPr>
        <w:t xml:space="preserve">, Т.С. Комаровой, М.А. </w:t>
      </w:r>
      <w:r w:rsidRPr="000D34B0">
        <w:rPr>
          <w:sz w:val="28"/>
          <w:szCs w:val="28"/>
        </w:rPr>
        <w:t>Васильевой)</w:t>
      </w:r>
      <w:r>
        <w:rPr>
          <w:sz w:val="28"/>
          <w:szCs w:val="28"/>
        </w:rPr>
        <w:t xml:space="preserve">, для организации работы по </w:t>
      </w:r>
      <w:r w:rsidRPr="004214AC">
        <w:rPr>
          <w:sz w:val="28"/>
          <w:szCs w:val="28"/>
        </w:rPr>
        <w:t>формированию элементарных математических</w:t>
      </w:r>
      <w:r w:rsidR="004214AC">
        <w:rPr>
          <w:sz w:val="28"/>
          <w:szCs w:val="28"/>
        </w:rPr>
        <w:t xml:space="preserve"> представлений в подготовительной </w:t>
      </w:r>
      <w:r w:rsidRPr="004214AC">
        <w:rPr>
          <w:sz w:val="28"/>
          <w:szCs w:val="28"/>
        </w:rPr>
        <w:t>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37B70">
        <w:rPr>
          <w:sz w:val="28"/>
          <w:szCs w:val="28"/>
        </w:rPr>
        <w:t>Формир</w:t>
      </w:r>
      <w:r w:rsidR="00AA1E70">
        <w:rPr>
          <w:sz w:val="28"/>
          <w:szCs w:val="28"/>
        </w:rPr>
        <w:t xml:space="preserve">ование элементарных математических представлений, </w:t>
      </w:r>
      <w:r w:rsidR="00BF7540">
        <w:rPr>
          <w:sz w:val="28"/>
          <w:szCs w:val="28"/>
        </w:rPr>
        <w:t>первичных представлений об основных свойствах и отношениях объектов окружающего мира.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836F0D">
        <w:rPr>
          <w:sz w:val="28"/>
          <w:szCs w:val="28"/>
        </w:rPr>
        <w:t>Развивать умения формировать группы однородных предметов; различать количество предметов: один-много.</w:t>
      </w:r>
    </w:p>
    <w:p w:rsidR="00E43406" w:rsidRPr="00E43406" w:rsidRDefault="00836F0D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5593B">
        <w:rPr>
          <w:sz w:val="28"/>
          <w:szCs w:val="28"/>
        </w:rPr>
        <w:t>.</w:t>
      </w:r>
      <w:r>
        <w:rPr>
          <w:sz w:val="28"/>
          <w:szCs w:val="28"/>
        </w:rPr>
        <w:t>Привлекать внимание детей к предметам контрастных размеров и их обозначению в речи.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836F0D">
        <w:rPr>
          <w:sz w:val="28"/>
          <w:szCs w:val="28"/>
        </w:rPr>
        <w:t>Форми</w:t>
      </w:r>
      <w:r w:rsidR="000704CB">
        <w:rPr>
          <w:sz w:val="28"/>
          <w:szCs w:val="28"/>
        </w:rPr>
        <w:t>ровать умения различать предметы по форме и называть их (кубик)</w:t>
      </w:r>
      <w:r w:rsidR="00FE0080">
        <w:rPr>
          <w:sz w:val="28"/>
          <w:szCs w:val="28"/>
        </w:rPr>
        <w:t>.</w:t>
      </w:r>
    </w:p>
    <w:p w:rsidR="00FE0080" w:rsidRPr="00E43406" w:rsidRDefault="00FE0080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4.Накопление детьми опыта практического освоения пространства</w:t>
      </w:r>
      <w:r w:rsidR="00DB4E15">
        <w:rPr>
          <w:sz w:val="28"/>
          <w:szCs w:val="28"/>
        </w:rPr>
        <w:t>. Расширение опыта ориентировки в частях собственного тела. Развитие у детей умения двигаться за педагогом в определенном направлении.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F5593B">
        <w:t>Принцип развивающего обучения.</w:t>
      </w:r>
    </w:p>
    <w:p w:rsidR="00740535" w:rsidRDefault="00E43406" w:rsidP="002F14D4">
      <w:pPr>
        <w:spacing w:line="276" w:lineRule="auto"/>
        <w:jc w:val="both"/>
      </w:pPr>
      <w:r>
        <w:t>2.</w:t>
      </w:r>
      <w:r w:rsidR="00740535">
        <w:t>Принцип единства воспитательных, развивающих и обучающих целей и задач.</w:t>
      </w:r>
    </w:p>
    <w:p w:rsidR="00740535" w:rsidRDefault="00740535" w:rsidP="002F14D4">
      <w:pPr>
        <w:spacing w:line="276" w:lineRule="auto"/>
        <w:jc w:val="both"/>
      </w:pPr>
      <w:r>
        <w:t>3.Принцип интеграции образовательных областей.</w:t>
      </w:r>
    </w:p>
    <w:p w:rsidR="00E43406" w:rsidRDefault="006864AD" w:rsidP="008071AE">
      <w:pPr>
        <w:tabs>
          <w:tab w:val="left" w:pos="3255"/>
        </w:tabs>
        <w:spacing w:line="276" w:lineRule="auto"/>
        <w:rPr>
          <w:sz w:val="28"/>
        </w:rPr>
      </w:pPr>
      <w:r>
        <w:rPr>
          <w:sz w:val="28"/>
        </w:rPr>
        <w:tab/>
        <w:t>ФОРМЫ РЕАЛИЗАЦИИ ПРОГРАММЫ</w:t>
      </w:r>
    </w:p>
    <w:p w:rsidR="006864AD" w:rsidRDefault="006864AD" w:rsidP="008071AE">
      <w:pPr>
        <w:tabs>
          <w:tab w:val="left" w:pos="3255"/>
        </w:tabs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8071AE" w:rsidRPr="00DB3BE0" w:rsidRDefault="008071AE" w:rsidP="008071AE">
      <w:pPr>
        <w:tabs>
          <w:tab w:val="left" w:pos="3255"/>
        </w:tabs>
        <w:spacing w:line="276" w:lineRule="auto"/>
        <w:rPr>
          <w:sz w:val="28"/>
        </w:rPr>
      </w:pPr>
      <w:r>
        <w:rPr>
          <w:sz w:val="28"/>
        </w:rPr>
        <w:t>1.</w:t>
      </w:r>
      <w:r w:rsidR="006864AD">
        <w:rPr>
          <w:sz w:val="28"/>
        </w:rPr>
        <w:t>Занятия «открытия» и «нового знания».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76267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lastRenderedPageBreak/>
        <w:t>3. Итоговые занятия</w:t>
      </w:r>
      <w:r w:rsidR="00D76267">
        <w:rPr>
          <w:sz w:val="28"/>
        </w:rPr>
        <w:t>.</w:t>
      </w:r>
    </w:p>
    <w:p w:rsidR="00E43406" w:rsidRPr="00DB3BE0" w:rsidRDefault="00E43406" w:rsidP="00D76267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C26EBC" w:rsidRDefault="00E43406" w:rsidP="00D76267">
      <w:pPr>
        <w:spacing w:line="276" w:lineRule="auto"/>
        <w:ind w:firstLine="708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«Формирование элементарных математических пред</w:t>
      </w:r>
      <w:r w:rsidR="00D76267">
        <w:rPr>
          <w:sz w:val="28"/>
        </w:rPr>
        <w:t>ставлений</w:t>
      </w:r>
      <w:r w:rsidRPr="00DB3BE0">
        <w:rPr>
          <w:sz w:val="28"/>
        </w:rPr>
        <w:t xml:space="preserve">», под редакцией И.А. </w:t>
      </w:r>
      <w:proofErr w:type="spellStart"/>
      <w:r w:rsidRPr="00DB3BE0">
        <w:rPr>
          <w:sz w:val="28"/>
        </w:rPr>
        <w:t>Помораевой</w:t>
      </w:r>
      <w:proofErr w:type="spellEnd"/>
      <w:r w:rsidRPr="00DB3BE0">
        <w:rPr>
          <w:sz w:val="28"/>
        </w:rPr>
        <w:t xml:space="preserve">, В.А. </w:t>
      </w:r>
      <w:proofErr w:type="spellStart"/>
      <w:r w:rsidRPr="00DB3BE0">
        <w:rPr>
          <w:sz w:val="28"/>
        </w:rPr>
        <w:t>Позиной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r w:rsidR="00C26EBC">
        <w:rPr>
          <w:sz w:val="28"/>
        </w:rPr>
        <w:t>о-</w:t>
      </w:r>
      <w:r w:rsidR="002851F2" w:rsidRPr="00C26EBC">
        <w:rPr>
          <w:sz w:val="28"/>
        </w:rPr>
        <w:t>предметная среда группы включает в себя</w:t>
      </w:r>
      <w:r w:rsidR="00C26EBC" w:rsidRPr="00C26EBC">
        <w:rPr>
          <w:sz w:val="28"/>
        </w:rPr>
        <w:t xml:space="preserve"> интерактивный комплекс (ноут</w:t>
      </w:r>
      <w:r w:rsidR="002851F2" w:rsidRPr="00C26EBC">
        <w:rPr>
          <w:sz w:val="28"/>
        </w:rPr>
        <w:t xml:space="preserve">бук </w:t>
      </w:r>
      <w:r w:rsidR="00C26EBC" w:rsidRPr="00C26EBC">
        <w:rPr>
          <w:sz w:val="28"/>
        </w:rPr>
        <w:t>«</w:t>
      </w:r>
      <w:r w:rsidR="00D76267">
        <w:rPr>
          <w:sz w:val="28"/>
          <w:lang w:val="en-US"/>
        </w:rPr>
        <w:t>Acer</w:t>
      </w:r>
      <w:r w:rsidR="006864AD">
        <w:rPr>
          <w:sz w:val="28"/>
        </w:rPr>
        <w:t>»</w:t>
      </w:r>
      <w:r w:rsidR="002851F2" w:rsidRPr="00C26EBC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36"/>
        <w:gridCol w:w="5991"/>
        <w:gridCol w:w="1998"/>
      </w:tblGrid>
      <w:tr w:rsidR="00DB3BE0" w:rsidTr="0058352E">
        <w:trPr>
          <w:trHeight w:val="287"/>
        </w:trPr>
        <w:tc>
          <w:tcPr>
            <w:tcW w:w="153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91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98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B3BE0" w:rsidTr="0058352E">
        <w:trPr>
          <w:trHeight w:val="303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91" w:type="dxa"/>
            <w:vAlign w:val="center"/>
          </w:tcPr>
          <w:p w:rsidR="00DB3BE0" w:rsidRDefault="006864AD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1.Развитие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6864AD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756B8F">
              <w:rPr>
                <w:b/>
              </w:rPr>
              <w:t>Развитие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756B8F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3.Развитие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F85751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4.Формирование умения различать предметы по форме.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862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91" w:type="dxa"/>
          </w:tcPr>
          <w:p w:rsidR="00DB3BE0" w:rsidRDefault="00F85751" w:rsidP="00F85751">
            <w:pPr>
              <w:spacing w:line="276" w:lineRule="auto"/>
              <w:rPr>
                <w:b/>
              </w:rPr>
            </w:pPr>
            <w:r>
              <w:rPr>
                <w:b/>
              </w:rPr>
              <w:t>1.Формирование умения называть предметы разной формы: кубик , шар ; умения производить действия с предметами.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F85751" w:rsidP="00F85751">
            <w:pPr>
              <w:spacing w:line="276" w:lineRule="auto"/>
              <w:rPr>
                <w:b/>
              </w:rPr>
            </w:pPr>
            <w:r>
              <w:rPr>
                <w:b/>
              </w:rPr>
              <w:t>2.Формирование умения различать предметы по форме и называть их: кубик, шарик. Формирование умения производить действия с предметами</w:t>
            </w:r>
            <w:r w:rsidR="00D20A33">
              <w:rPr>
                <w:b/>
              </w:rPr>
              <w:t>: обводить форму предмета, катать, ставить.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D20A33" w:rsidP="00D20A33">
            <w:pPr>
              <w:spacing w:line="276" w:lineRule="auto"/>
              <w:rPr>
                <w:b/>
              </w:rPr>
            </w:pPr>
            <w:r>
              <w:rPr>
                <w:b/>
              </w:rPr>
              <w:t>3.Формирование умения различать предметы по форме и называть их кирпичик, шарик. Формирование умения выполнять действия с предметами: сооружать простейшие постройки.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D20A33" w:rsidP="00D20A33">
            <w:pPr>
              <w:spacing w:line="276" w:lineRule="auto"/>
              <w:rPr>
                <w:b/>
              </w:rPr>
            </w:pPr>
            <w:r>
              <w:rPr>
                <w:b/>
              </w:rPr>
              <w:t>4.Формирование умения различать предметы по форме: кирпичик, кубик. Формирование умения сооружать постройки.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575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91" w:type="dxa"/>
          </w:tcPr>
          <w:p w:rsidR="00DB3BE0" w:rsidRDefault="008E433B" w:rsidP="008E433B">
            <w:pPr>
              <w:spacing w:line="276" w:lineRule="auto"/>
              <w:rPr>
                <w:b/>
              </w:rPr>
            </w:pPr>
            <w:r>
              <w:rPr>
                <w:b/>
              </w:rPr>
              <w:t>1.Формирование умения различать предметы по форме и называть их: кубик,  шарик, кирпичик 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8E433B" w:rsidP="008E43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2.Развитие умения </w:t>
            </w:r>
            <w:r w:rsidR="00053DE5">
              <w:rPr>
                <w:b/>
              </w:rPr>
              <w:t>различать предметы контрастной величины и обозначать их словами: большой, маленький.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053DE5" w:rsidP="00053D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3.Развитие умения различать предметы контрастной величины и </w:t>
            </w:r>
            <w:r w:rsidR="00882D2B">
              <w:rPr>
                <w:b/>
              </w:rPr>
              <w:t>обозначать их словами: большой, маленький. Совершенствование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882D2B" w:rsidP="00882D2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4.Развитие умения  различать </w:t>
            </w:r>
            <w:r w:rsidR="00AF2EEF">
              <w:rPr>
                <w:b/>
              </w:rPr>
              <w:t>контрастные по величине кубики и называть их: большие кубики, маленькие кубики. Формирование умения сооружать простейшие постройки.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878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91" w:type="dxa"/>
          </w:tcPr>
          <w:p w:rsidR="00DB3BE0" w:rsidRDefault="00AF2EEF" w:rsidP="00AF2EEF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1.Развитие умения различать контрастные</w:t>
            </w:r>
            <w:r w:rsidR="00F97C15">
              <w:rPr>
                <w:b/>
              </w:rPr>
              <w:t xml:space="preserve"> по величине шарики и называть их. Совершенствование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91" w:type="dxa"/>
          </w:tcPr>
          <w:p w:rsidR="00DB3BE0" w:rsidRDefault="00F97C15" w:rsidP="00F97C15">
            <w:pPr>
              <w:spacing w:line="276" w:lineRule="auto"/>
              <w:rPr>
                <w:b/>
              </w:rPr>
            </w:pPr>
            <w:r>
              <w:rPr>
                <w:b/>
              </w:rPr>
              <w:t>2.Развитие умения различать контрастные по величине кубики и шарики. Формирование умения группировать предметы по величине.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91" w:type="dxa"/>
          </w:tcPr>
          <w:p w:rsidR="00DB3BE0" w:rsidRDefault="00F97C15" w:rsidP="00F97C15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F56C86">
              <w:rPr>
                <w:b/>
              </w:rPr>
              <w:t>Развитие умения формировать группы однородных предметов, различать количество предметов: один- много.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91" w:type="dxa"/>
          </w:tcPr>
          <w:p w:rsidR="00F56C86" w:rsidRDefault="00F56C86" w:rsidP="00F56C86">
            <w:pPr>
              <w:spacing w:line="276" w:lineRule="auto"/>
              <w:rPr>
                <w:b/>
              </w:rPr>
            </w:pPr>
            <w:r>
              <w:rPr>
                <w:b/>
              </w:rPr>
              <w:t>4.Развитие умения формировать группы однородных предметов, различать количество предметов: много- один.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590"/>
        </w:trPr>
        <w:tc>
          <w:tcPr>
            <w:tcW w:w="1536" w:type="dxa"/>
          </w:tcPr>
          <w:p w:rsidR="00DB3BE0" w:rsidRPr="00DB3BE0" w:rsidRDefault="00DB3BE0" w:rsidP="00F56C86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DB3BE0" w:rsidRDefault="00F56C86" w:rsidP="00F56C86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5.Развитие умения различать контрастные по величине группы однородных предметов.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07EE" w:rsidTr="0058352E">
        <w:trPr>
          <w:trHeight w:val="755"/>
        </w:trPr>
        <w:tc>
          <w:tcPr>
            <w:tcW w:w="1536" w:type="dxa"/>
          </w:tcPr>
          <w:p w:rsidR="004407EE" w:rsidRPr="00D40DA0" w:rsidRDefault="00B16325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Январь</w:t>
            </w:r>
          </w:p>
        </w:tc>
        <w:tc>
          <w:tcPr>
            <w:tcW w:w="5991" w:type="dxa"/>
          </w:tcPr>
          <w:p w:rsidR="004407EE" w:rsidRPr="00D40DA0" w:rsidRDefault="00B16325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</w:t>
            </w:r>
            <w:r w:rsidR="00131999" w:rsidRPr="00D40DA0">
              <w:rPr>
                <w:b/>
              </w:rPr>
              <w:t xml:space="preserve"> формировать группы предметов,различать количество предметов:много-много.</w:t>
            </w:r>
          </w:p>
        </w:tc>
        <w:tc>
          <w:tcPr>
            <w:tcW w:w="1998" w:type="dxa"/>
          </w:tcPr>
          <w:p w:rsidR="004407EE" w:rsidRDefault="004407EE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умение различать контрастные по величине предметы и обозначать их соответствующими словами:большой,маленький.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формировать группы предметов и различать их количество:много-много.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формировать группы однородных предметов,различать их по количеству:много-мало,мало-много.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131999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Февраль</w:t>
            </w: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</w:t>
            </w:r>
            <w:r w:rsidR="00C27900" w:rsidRPr="00D40DA0">
              <w:rPr>
                <w:b/>
              </w:rPr>
              <w:t xml:space="preserve"> предметы по форме и называть их: кубик ,шарик.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предметных действий.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формировать группы предметов и различать их количество: много- 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формировать группы однородных предметов, различать их количество и обозначать словами: много-один,один-много,много-много.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C27900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Март</w:t>
            </w: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различать предметы,формировать их в группы по количеству и обозначать в речи:большой,маленький,кубик,шарик,много-много.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 предметы по форме и количеству и обозначать их словами</w:t>
            </w:r>
            <w:r w:rsidR="00A41957" w:rsidRPr="00D40DA0">
              <w:rPr>
                <w:b/>
              </w:rPr>
              <w:t>:шарик,кубик,кирпичик,много-мало.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производить простейшие группировки предметов по форме и величине.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 xml:space="preserve"> Развитие умения различать и показывать части своего тела.Формирование умения сооружать несложные постройки.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A41957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Апрель</w:t>
            </w: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 предметы по величине и цвету.Развитие предметных действий.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слышать и называть пространственные предлоги и наречия,соотносить их с местом расположения предмета(в,на,под,здесь,там,тут).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формировать группы однородных предметов:много-один,один-много,много-мало,много-много.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использовать в речи существительные во множественном и единственном числе.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73185A" w:rsidRDefault="007A39A7" w:rsidP="0058352E">
            <w:pPr>
              <w:spacing w:line="276" w:lineRule="auto"/>
              <w:rPr>
                <w:b/>
                <w:i/>
              </w:rPr>
            </w:pPr>
            <w:r w:rsidRPr="0073185A">
              <w:rPr>
                <w:b/>
                <w:i/>
              </w:rPr>
              <w:lastRenderedPageBreak/>
              <w:t xml:space="preserve">     Май</w:t>
            </w: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двигаться за взрослым в определенном направлении.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Default="000E37CF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 предметы по величине и обозначать их словами:большой,маленький.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Default="000E37CF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предметных действий.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Default="000E37CF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0E37CF" w:rsidRPr="007A39A7" w:rsidRDefault="00D9066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Закрепление.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90663" w:rsidTr="0058352E">
        <w:trPr>
          <w:trHeight w:val="755"/>
        </w:trPr>
        <w:tc>
          <w:tcPr>
            <w:tcW w:w="1536" w:type="dxa"/>
          </w:tcPr>
          <w:p w:rsidR="00D90663" w:rsidRDefault="00D90663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D90663" w:rsidRDefault="00D9066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36 занятий в год.</w:t>
            </w:r>
          </w:p>
        </w:tc>
        <w:tc>
          <w:tcPr>
            <w:tcW w:w="1998" w:type="dxa"/>
          </w:tcPr>
          <w:p w:rsidR="00D90663" w:rsidRDefault="00D90663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DB3BE0" w:rsidRDefault="00DB3BE0" w:rsidP="00DB3BE0">
      <w:pPr>
        <w:spacing w:line="276" w:lineRule="auto"/>
        <w:jc w:val="both"/>
        <w:rPr>
          <w:color w:val="FF0000"/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</w:t>
      </w:r>
      <w:r w:rsidR="0019107D" w:rsidRPr="00D40DA0">
        <w:rPr>
          <w:sz w:val="28"/>
        </w:rPr>
        <w:t>этим з</w:t>
      </w:r>
      <w:r w:rsidRPr="00D40DA0">
        <w:rPr>
          <w:sz w:val="28"/>
        </w:rPr>
        <w:t>анятия на тему «</w:t>
      </w:r>
      <w:r w:rsidR="00F56C86" w:rsidRPr="00D40DA0">
        <w:rPr>
          <w:sz w:val="28"/>
        </w:rPr>
        <w:t xml:space="preserve">Развитие умения различать контрастные по величине группы </w:t>
      </w:r>
      <w:proofErr w:type="spellStart"/>
      <w:r w:rsidR="00F56C86" w:rsidRPr="00D40DA0">
        <w:rPr>
          <w:sz w:val="28"/>
        </w:rPr>
        <w:t>предмето</w:t>
      </w:r>
      <w:proofErr w:type="spellEnd"/>
      <w:r w:rsidRPr="00D40DA0">
        <w:rPr>
          <w:sz w:val="28"/>
        </w:rPr>
        <w:t>.» пер</w:t>
      </w:r>
      <w:r w:rsidR="0019107D" w:rsidRPr="00D40DA0">
        <w:rPr>
          <w:sz w:val="28"/>
        </w:rPr>
        <w:t xml:space="preserve">енесено </w:t>
      </w:r>
      <w:r w:rsidRPr="00D40DA0">
        <w:rPr>
          <w:sz w:val="28"/>
        </w:rPr>
        <w:t xml:space="preserve"> на</w:t>
      </w:r>
      <w:r w:rsidR="0019107D" w:rsidRPr="00D40DA0">
        <w:rPr>
          <w:sz w:val="28"/>
        </w:rPr>
        <w:t xml:space="preserve"> 02.02.2015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D40DA0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овладеть знаниями в области формирования элементарных математических представлений</w:t>
      </w:r>
      <w:r w:rsidRPr="00D40DA0">
        <w:rPr>
          <w:sz w:val="28"/>
        </w:rPr>
        <w:t xml:space="preserve">: знать </w:t>
      </w:r>
      <w:r w:rsidR="00DB4E15" w:rsidRPr="00D40DA0">
        <w:rPr>
          <w:sz w:val="28"/>
        </w:rPr>
        <w:t>названия форм предметов (кубик, кирпичик, шар), названия частей тела(голова,лицо,руки, ноги, спина), различать</w:t>
      </w:r>
      <w:r w:rsidR="00363266" w:rsidRPr="00D40DA0">
        <w:rPr>
          <w:sz w:val="28"/>
        </w:rPr>
        <w:t xml:space="preserve"> предметы по форме и размеру(большой-маленький)</w:t>
      </w:r>
      <w:r w:rsidRPr="00D40DA0">
        <w:rPr>
          <w:sz w:val="28"/>
        </w:rPr>
        <w:t>, уметь</w:t>
      </w:r>
      <w:r w:rsidR="00363266" w:rsidRPr="00D40DA0">
        <w:rPr>
          <w:sz w:val="28"/>
        </w:rPr>
        <w:t xml:space="preserve"> формировать группы однородных предметов; различать количество предметов(много-один).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2D17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F"/>
    <w:rsid w:val="00053DE5"/>
    <w:rsid w:val="000576AF"/>
    <w:rsid w:val="000704CB"/>
    <w:rsid w:val="000E37CF"/>
    <w:rsid w:val="001263A8"/>
    <w:rsid w:val="00131999"/>
    <w:rsid w:val="00153DEB"/>
    <w:rsid w:val="001823DE"/>
    <w:rsid w:val="0019107D"/>
    <w:rsid w:val="001947DB"/>
    <w:rsid w:val="001D5BD8"/>
    <w:rsid w:val="001D7FCA"/>
    <w:rsid w:val="00263F7A"/>
    <w:rsid w:val="002851F2"/>
    <w:rsid w:val="002D17A3"/>
    <w:rsid w:val="002D7898"/>
    <w:rsid w:val="002F14D4"/>
    <w:rsid w:val="0033307C"/>
    <w:rsid w:val="00363266"/>
    <w:rsid w:val="003900CD"/>
    <w:rsid w:val="003B2E1A"/>
    <w:rsid w:val="004214AC"/>
    <w:rsid w:val="004407EE"/>
    <w:rsid w:val="004612FA"/>
    <w:rsid w:val="004A1EEF"/>
    <w:rsid w:val="0058352E"/>
    <w:rsid w:val="00604D38"/>
    <w:rsid w:val="00616956"/>
    <w:rsid w:val="00670D72"/>
    <w:rsid w:val="006864AD"/>
    <w:rsid w:val="00695A40"/>
    <w:rsid w:val="006A5DC8"/>
    <w:rsid w:val="0073185A"/>
    <w:rsid w:val="00740535"/>
    <w:rsid w:val="00756B8F"/>
    <w:rsid w:val="007A39A7"/>
    <w:rsid w:val="007B7833"/>
    <w:rsid w:val="00800D8A"/>
    <w:rsid w:val="008071AE"/>
    <w:rsid w:val="00836F0D"/>
    <w:rsid w:val="00842B5E"/>
    <w:rsid w:val="00882D2B"/>
    <w:rsid w:val="00885974"/>
    <w:rsid w:val="008D10C4"/>
    <w:rsid w:val="008E433B"/>
    <w:rsid w:val="009222CE"/>
    <w:rsid w:val="00937B70"/>
    <w:rsid w:val="00A219CB"/>
    <w:rsid w:val="00A34527"/>
    <w:rsid w:val="00A41957"/>
    <w:rsid w:val="00A9470E"/>
    <w:rsid w:val="00AA1E70"/>
    <w:rsid w:val="00AF2EEF"/>
    <w:rsid w:val="00B16325"/>
    <w:rsid w:val="00B46297"/>
    <w:rsid w:val="00B5472A"/>
    <w:rsid w:val="00BD3DEC"/>
    <w:rsid w:val="00BF7540"/>
    <w:rsid w:val="00C21E55"/>
    <w:rsid w:val="00C26EBC"/>
    <w:rsid w:val="00C27900"/>
    <w:rsid w:val="00D20A33"/>
    <w:rsid w:val="00D40DA0"/>
    <w:rsid w:val="00D76267"/>
    <w:rsid w:val="00D90663"/>
    <w:rsid w:val="00DB3BE0"/>
    <w:rsid w:val="00DB4E15"/>
    <w:rsid w:val="00DF7B65"/>
    <w:rsid w:val="00E20C65"/>
    <w:rsid w:val="00E43406"/>
    <w:rsid w:val="00E61A6D"/>
    <w:rsid w:val="00ED3934"/>
    <w:rsid w:val="00EF338C"/>
    <w:rsid w:val="00EF5221"/>
    <w:rsid w:val="00F05260"/>
    <w:rsid w:val="00F05487"/>
    <w:rsid w:val="00F057C4"/>
    <w:rsid w:val="00F21AFA"/>
    <w:rsid w:val="00F27FF1"/>
    <w:rsid w:val="00F543F3"/>
    <w:rsid w:val="00F5593B"/>
    <w:rsid w:val="00F56C86"/>
    <w:rsid w:val="00F85751"/>
    <w:rsid w:val="00F97C15"/>
    <w:rsid w:val="00FE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EA2E-C5A5-4929-86B8-8F48431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31</cp:revision>
  <cp:lastPrinted>2014-09-18T09:32:00Z</cp:lastPrinted>
  <dcterms:created xsi:type="dcterms:W3CDTF">2014-09-18T07:41:00Z</dcterms:created>
  <dcterms:modified xsi:type="dcterms:W3CDTF">2018-07-08T11:36:00Z</dcterms:modified>
</cp:coreProperties>
</file>